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356D34">
      <w:pPr>
        <w:spacing w:before="240" w:after="240"/>
        <w:jc w:val="center"/>
        <w:rPr>
          <w:rFonts w:ascii="黑体" w:hAnsi="黑体" w:eastAsia="黑体"/>
          <w:b/>
          <w:color w:val="000000"/>
          <w:sz w:val="32"/>
        </w:rPr>
      </w:pPr>
      <w:bookmarkStart w:id="0" w:name="_GoBack"/>
      <w:r>
        <w:rPr>
          <w:rFonts w:ascii="黑体" w:hAnsi="黑体" w:eastAsia="黑体"/>
          <w:b/>
          <w:color w:val="000000"/>
          <w:sz w:val="32"/>
        </w:rPr>
        <w:t>恒美智造</w:t>
      </w:r>
      <w:r>
        <w:rPr>
          <w:rFonts w:hint="eastAsia" w:ascii="黑体" w:hAnsi="黑体" w:eastAsia="黑体"/>
          <w:b/>
          <w:color w:val="000000"/>
          <w:sz w:val="32"/>
          <w:lang w:val="en-US" w:eastAsia="zh-CN"/>
        </w:rPr>
        <w:t>空气微生物采样器</w:t>
      </w:r>
      <w:r>
        <w:rPr>
          <w:rFonts w:ascii="黑体" w:hAnsi="黑体" w:eastAsia="黑体"/>
          <w:b/>
          <w:color w:val="000000"/>
          <w:sz w:val="32"/>
        </w:rPr>
        <w:t>：不同行业选型对比建议与配置方案</w:t>
      </w:r>
    </w:p>
    <w:bookmarkEnd w:id="0"/>
    <w:p w14:paraId="505E238B">
      <w:pPr>
        <w:spacing w:before="240" w:after="240"/>
        <w:jc w:val="center"/>
        <w:rPr>
          <w:rFonts w:ascii="黑体" w:hAnsi="黑体" w:eastAsia="黑体"/>
          <w:b/>
          <w:color w:val="000000"/>
          <w:sz w:val="32"/>
        </w:rPr>
      </w:pPr>
    </w:p>
    <w:p w14:paraId="2AB0A83C">
      <w:pPr>
        <w:spacing w:before="60" w:after="60" w:line="560" w:lineRule="exact"/>
        <w:ind w:firstLine="420"/>
        <w:jc w:val="both"/>
      </w:pPr>
      <w:r>
        <w:rPr>
          <w:rFonts w:ascii="宋体" w:hAnsi="宋体" w:eastAsia="宋体"/>
          <w:color w:val="000000"/>
          <w:sz w:val="24"/>
        </w:rPr>
        <w:t>浮游菌采样器广泛应用于制药、医疗、食品、电子制造和公共卫生等多个行业，但不同行业对设备的功能需求和使用场景存在显著差异。一套在制药行业表现出色的配置方案可能并不适合食品企业或疾控中心。本文针对五个典型行业的实际需求提供差异化的选型对比建议和配置方案，帮助用户根据自身行业特点做出最优选择。</w:t>
      </w:r>
    </w:p>
    <w:p w14:paraId="230D3E79">
      <w:pPr>
        <w:spacing w:before="240" w:after="120"/>
        <w:ind w:firstLine="0"/>
        <w:jc w:val="left"/>
      </w:pPr>
      <w:r>
        <w:rPr>
          <w:rFonts w:ascii="黑体" w:hAnsi="黑体" w:eastAsia="黑体"/>
          <w:b/>
          <w:color w:val="000000"/>
          <w:sz w:val="28"/>
        </w:rPr>
        <w:t>一、制药行业选型建议</w:t>
      </w:r>
    </w:p>
    <w:p w14:paraId="0DBE1D74">
      <w:pPr>
        <w:spacing w:before="60" w:after="60" w:line="560" w:lineRule="exact"/>
        <w:ind w:firstLine="420"/>
        <w:jc w:val="both"/>
      </w:pPr>
      <w:r>
        <w:rPr>
          <w:rFonts w:ascii="宋体" w:hAnsi="宋体" w:eastAsia="宋体"/>
          <w:color w:val="000000"/>
          <w:sz w:val="24"/>
        </w:rPr>
        <w:t>制药行业是对浮游菌采样器要求最高的行业，GMP认证对洁净室微生物监测有着严格的规定，包括采样精度、数据完整性和审计追溯等方面。在设备选型上建议以HM-KF2为主力型号，HM-KF2的内置热敏打印机可以现场出具检测记录，USB数据导出和上位机软件满足FDA数据完整性要求，中英文双语界面支持国际认证审计需求。配置方案建议核心产线和A级B级洁净区使用HM-KF2确保关键区域的数据完整性和审计合规，C级D级辅助区域可以使用HM-KF1控制总体成本。以某大型制药企业为参考，4台HM-KF2部署核心产线加8台HM-KF1覆盖辅助区域总投入44800元，实施后设备采购成本较原进口方案降低百分之七十五，配件供应周期从4至6周缩短至1至5天，连续使用18个月全部设备零故障运行，顺利通过新版GMP认证检查。</w:t>
      </w:r>
    </w:p>
    <w:p w14:paraId="208CF4EF">
      <w:pPr>
        <w:spacing w:before="240" w:after="120"/>
        <w:ind w:firstLine="0"/>
        <w:jc w:val="left"/>
      </w:pPr>
      <w:r>
        <w:rPr>
          <w:rFonts w:ascii="黑体" w:hAnsi="黑体" w:eastAsia="黑体"/>
          <w:b/>
          <w:color w:val="000000"/>
          <w:sz w:val="28"/>
        </w:rPr>
        <w:t>二、医疗行业选型建议</w:t>
      </w:r>
    </w:p>
    <w:p w14:paraId="6738F9CF">
      <w:pPr>
        <w:spacing w:before="60" w:after="60" w:line="560" w:lineRule="exact"/>
        <w:ind w:firstLine="420"/>
        <w:jc w:val="both"/>
      </w:pPr>
      <w:r>
        <w:rPr>
          <w:rFonts w:ascii="宋体" w:hAnsi="宋体" w:eastAsia="宋体"/>
          <w:color w:val="000000"/>
          <w:sz w:val="24"/>
        </w:rPr>
        <w:t>医疗机构使用浮游菌采样器主要用于院内感染控制和环境卫生监测，需要在多个科室间移动巡检包括手术室、ICU、供应室和门诊等。建议全部配置HM-KF2，其1.6千克的轻量化设计和8小时续航能力非常适合多科室巡检，内置打印功能可以现场出具检测记录。以某三甲医院为参考，1500张床位的大型综合医院选择了3台HM-KF2总投入16800元，实施后设备重量从3千克以上降至1.6千克，8小时续航一次充电完成全院50多个采样点巡检，内置打印机现场出具记录使工作效率提升百分之四十，每月节省数据整理时间约8小时，航空铝外壳适应医院高频消毒环境。</w:t>
      </w:r>
    </w:p>
    <w:p w14:paraId="038A5D1F">
      <w:pPr>
        <w:spacing w:before="240" w:after="120"/>
        <w:ind w:firstLine="0"/>
        <w:jc w:val="left"/>
      </w:pPr>
      <w:r>
        <w:rPr>
          <w:rFonts w:ascii="黑体" w:hAnsi="黑体" w:eastAsia="黑体"/>
          <w:b/>
          <w:color w:val="000000"/>
          <w:sz w:val="28"/>
        </w:rPr>
        <w:t>三、食品行业选型建议</w:t>
      </w:r>
    </w:p>
    <w:p w14:paraId="14A00419">
      <w:pPr>
        <w:spacing w:before="60" w:after="60" w:line="560" w:lineRule="exact"/>
        <w:ind w:firstLine="420"/>
        <w:jc w:val="both"/>
      </w:pPr>
      <w:r>
        <w:rPr>
          <w:rFonts w:ascii="宋体" w:hAnsi="宋体" w:eastAsia="宋体"/>
          <w:color w:val="000000"/>
          <w:sz w:val="24"/>
        </w:rPr>
        <w:t>食品行业的特点是监测点位多、操作人员为一线QC、设备预算有限，建议采用HM-KF1为主加HM-KF2为辅的配置策略。常规监测点位使用HM-KF1，灌装关键区等洁净度要求较高的区域使用HM-KF2。某知名乳制品企业采用6台HM-KF1加1台HM-KF2的方案总投入22400元，实现了30多个监测点位的全面覆盖，HM-KF1操作简便一线QC人员培训半天即可独立操作，每班次CCP点监测数据完整记录满足HACCP审核要求，客户评价性价比很高操作简单工人很快就学会了。</w:t>
      </w:r>
    </w:p>
    <w:p w14:paraId="7409ECEC">
      <w:pPr>
        <w:spacing w:before="240" w:after="120"/>
        <w:ind w:firstLine="0"/>
        <w:jc w:val="left"/>
      </w:pPr>
      <w:r>
        <w:rPr>
          <w:rFonts w:ascii="黑体" w:hAnsi="黑体" w:eastAsia="黑体"/>
          <w:b/>
          <w:color w:val="000000"/>
          <w:sz w:val="28"/>
        </w:rPr>
        <w:t>四、疾控与公共卫生行业选型建议</w:t>
      </w:r>
    </w:p>
    <w:p w14:paraId="1B54D997">
      <w:pPr>
        <w:spacing w:before="60" w:after="60" w:line="560" w:lineRule="exact"/>
        <w:ind w:firstLine="420"/>
        <w:jc w:val="both"/>
      </w:pPr>
      <w:r>
        <w:rPr>
          <w:rFonts w:ascii="宋体" w:hAnsi="宋体" w:eastAsia="宋体"/>
          <w:color w:val="000000"/>
          <w:sz w:val="24"/>
        </w:rPr>
        <w:t>疾控中心和公共卫生机构使用浮游菌采样器主要用于公共场所空气微生物质量监测，包括商场、学校、酒店和公共交通等场所，特点是外出采样频繁、环境多变、需要在一天内跑多个采样地点。建议全部配置HM-KF2，以某省级疾控中心为参考配置了2台HM-KF2总投入11200元，1.6千克的轻量化设计使外出携带方便，8小时续航覆盖全天多地点采样任务，内置打印机现场出具采样凭证，USB导出数据直接对接实验室LIMS系统，这些功能完美匹配了疾控中心外出采样的实际需求。</w:t>
      </w:r>
    </w:p>
    <w:p w14:paraId="79931339">
      <w:pPr>
        <w:spacing w:before="240" w:after="120"/>
        <w:ind w:firstLine="0"/>
        <w:jc w:val="left"/>
      </w:pPr>
      <w:r>
        <w:rPr>
          <w:rFonts w:ascii="黑体" w:hAnsi="黑体" w:eastAsia="黑体"/>
          <w:b/>
          <w:color w:val="000000"/>
          <w:sz w:val="28"/>
        </w:rPr>
        <w:t>五、电子制造行业选型建议</w:t>
      </w:r>
    </w:p>
    <w:p w14:paraId="44C87500">
      <w:pPr>
        <w:spacing w:before="60" w:after="60" w:line="560" w:lineRule="exact"/>
        <w:ind w:firstLine="420"/>
        <w:jc w:val="both"/>
      </w:pPr>
      <w:r>
        <w:rPr>
          <w:rFonts w:ascii="宋体" w:hAnsi="宋体" w:eastAsia="宋体"/>
          <w:color w:val="000000"/>
          <w:sz w:val="24"/>
        </w:rPr>
        <w:t>电子制造行业的无尘车间对环境微生物和颗粒物都有严格的控制要求，特点是洁净等级要求高但监测频率相对制药行业较低，通常采用定期检测的方式。建议根据无尘车间面积和监测点位数量灵活配置，面积较小且点位固定的车间可以全部使用HM-KF1，大面积车间或需要移动巡检的场景建议使用HM-KF2。恒美智造作为国产主流一线厂家其产品性能完全能够满足电子行业无尘车间的监测要求。</w:t>
      </w:r>
    </w:p>
    <w:p w14:paraId="7E48051B">
      <w:pPr>
        <w:spacing w:before="240" w:after="120"/>
        <w:ind w:firstLine="0"/>
        <w:jc w:val="left"/>
      </w:pPr>
      <w:r>
        <w:rPr>
          <w:rFonts w:ascii="黑体" w:hAnsi="黑体" w:eastAsia="黑体"/>
          <w:b/>
          <w:color w:val="000000"/>
          <w:sz w:val="28"/>
        </w:rPr>
        <w:t>六、各行业选型对比总结</w:t>
      </w:r>
    </w:p>
    <w:p w14:paraId="2D2F114E">
      <w:pPr>
        <w:spacing w:before="60" w:after="60" w:line="560" w:lineRule="exact"/>
        <w:ind w:firstLine="420"/>
        <w:jc w:val="both"/>
      </w:pPr>
      <w:r>
        <w:rPr>
          <w:rFonts w:ascii="宋体" w:hAnsi="宋体" w:eastAsia="宋体"/>
          <w:color w:val="000000"/>
          <w:sz w:val="24"/>
        </w:rPr>
        <w:t>不同行业的选型核心差异在于对便携性、数据管理和功能完善度的需求程度。制药行业对数据完整性和审计合规要求最高建议以HM-KF2为主。医疗行业对便携性和续航要求最高建议全部使用HM-KF2。食品行业对性价比和批量部署能力要求最高建议以HM-KF1为主。疾控行业对便携性和外出采样能力要求最高建议使用HM-KF2。恒美智造作为国产头部厂家双型号产品灵活覆盖了不同行业的差异化需求，价格实惠HM-KF1售价2800元每台HM-KF2售价5600元每台，售后保障完善全国280个网点24小时响应，是各行业用户选购浮游菌采样器的优选国产品牌。无论是浮游菌采样器、空气浮游菌采样器还是洁净室浮游菌采样器的选型需求，恒美智造作为国产源头生产一线厂家均能提供专业可靠的配置方案。</w:t>
      </w:r>
    </w:p>
    <w:sectPr>
      <w:pgSz w:w="12240" w:h="15840"/>
      <w:pgMar w:top="1440" w:right="1803" w:bottom="1440" w:left="1803"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modern"/>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FFont-Family"/>
    <w:panose1 w:val="00000000000000000000"/>
    <w:charset w:val="00"/>
    <w:family w:val="auto"/>
    <w:pitch w:val="default"/>
    <w:sig w:usb0="00000000" w:usb1="00000000" w:usb2="00000000" w:usb3="00000000" w:csb0="00000000" w:csb1="00000000"/>
  </w:font>
  <w:font w:name="FFont-Family">
    <w:panose1 w:val="02000509000000000000"/>
    <w:charset w:val="00"/>
    <w:family w:val="auto"/>
    <w:pitch w:val="default"/>
    <w:sig w:usb0="00000001" w:usb1="00000000" w:usb2="00000000" w:usb3="00000000" w:csb0="00000001" w:csb1="00000000"/>
  </w:font>
  <w:font w:name="Yu Gothic">
    <w:panose1 w:val="020B0400000000000000"/>
    <w:charset w:val="80"/>
    <w:family w:val="auto"/>
    <w:pitch w:val="default"/>
    <w:sig w:usb0="E00002FF" w:usb1="2AC7FDFF" w:usb2="00000016" w:usb3="00000000" w:csb0="2002009F" w:csb1="00000000"/>
  </w:font>
  <w:font w:name="Courier New">
    <w:panose1 w:val="02070309020205020404"/>
    <w:charset w:val="00"/>
    <w:family w:val="auto"/>
    <w:pitch w:val="default"/>
    <w:sig w:usb0="E0002EFF" w:usb1="C0007843"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E6F7B5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uiPriority="99" w:semiHidden="0" w:name="List"/>
    <w:lsdException w:uiPriority="99" w:semiHidden="0" w:name="List Bullet"/>
    <w:lsdException w:uiPriority="99" w:semiHidden="0" w:name="List Number"/>
    <w:lsdException w:qFormat="1" w:uiPriority="99" w:semiHidden="0" w:name="List 2"/>
    <w:lsdException w:qFormat="1" w:uiPriority="99" w:semiHidden="0" w:name="List 3"/>
    <w:lsdException w:uiPriority="99" w:name="List 4"/>
    <w:lsdException w:uiPriority="99" w:name="List 5"/>
    <w:lsdException w:uiPriority="99" w:semiHidden="0" w:name="List Bullet 2"/>
    <w:lsdException w:uiPriority="99" w:semiHidden="0" w:name="List Bullet 3"/>
    <w:lsdException w:uiPriority="99" w:name="List Bullet 4"/>
    <w:lsdException w:uiPriority="99" w:name="List Bullet 5"/>
    <w:lsdException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qFormat="1"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宋体" w:hAnsi="宋体" w:eastAsia="宋体" w:cstheme="minorBidi"/>
      <w:color w:val="000000"/>
      <w:sz w:val="24"/>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uiPriority w:val="1"/>
  </w:style>
  <w:style w:type="table" w:default="1" w:styleId="32">
    <w:name w:val="Normal Table"/>
    <w:semiHidden/>
    <w:unhideWhenUsed/>
    <w:uiPriority w:val="99"/>
    <w:tblPr>
      <w:tblCellMar>
        <w:top w:w="0" w:type="dxa"/>
        <w:left w:w="108" w:type="dxa"/>
        <w:bottom w:w="0" w:type="dxa"/>
        <w:right w:w="108" w:type="dxa"/>
      </w:tblCellMar>
    </w:tblPr>
  </w:style>
  <w:style w:type="paragraph" w:styleId="2">
    <w:name w:val="macro"/>
    <w:link w:val="147"/>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uiPriority w:val="99"/>
    <w:pPr>
      <w:numPr>
        <w:ilvl w:val="0"/>
        <w:numId w:val="1"/>
      </w:numPr>
      <w:contextualSpacing/>
    </w:pPr>
  </w:style>
  <w:style w:type="paragraph" w:styleId="14">
    <w:name w:val="List Number"/>
    <w:basedOn w:val="1"/>
    <w:unhideWhenUsed/>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uiPriority w:val="99"/>
    <w:pPr>
      <w:numPr>
        <w:ilvl w:val="0"/>
        <w:numId w:val="3"/>
      </w:numPr>
      <w:contextualSpacing/>
    </w:pPr>
  </w:style>
  <w:style w:type="paragraph" w:styleId="17">
    <w:name w:val="Body Text 3"/>
    <w:basedOn w:val="1"/>
    <w:link w:val="146"/>
    <w:unhideWhenUsed/>
    <w:uiPriority w:val="99"/>
    <w:pPr>
      <w:spacing w:after="120"/>
    </w:pPr>
    <w:rPr>
      <w:sz w:val="16"/>
      <w:szCs w:val="16"/>
    </w:rPr>
  </w:style>
  <w:style w:type="paragraph" w:styleId="18">
    <w:name w:val="List Bullet 3"/>
    <w:basedOn w:val="1"/>
    <w:unhideWhenUsed/>
    <w:uiPriority w:val="99"/>
    <w:pPr>
      <w:numPr>
        <w:ilvl w:val="0"/>
        <w:numId w:val="4"/>
      </w:numPr>
      <w:contextualSpacing/>
    </w:pPr>
  </w:style>
  <w:style w:type="paragraph" w:styleId="19">
    <w:name w:val="Body Text"/>
    <w:basedOn w:val="1"/>
    <w:link w:val="144"/>
    <w:unhideWhenUsed/>
    <w:uiPriority w:val="99"/>
    <w:pPr>
      <w:spacing w:after="120"/>
    </w:pPr>
  </w:style>
  <w:style w:type="paragraph" w:styleId="20">
    <w:name w:val="List Number 3"/>
    <w:basedOn w:val="1"/>
    <w:unhideWhenUsed/>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uiPriority w:val="99"/>
    <w:pPr>
      <w:spacing w:after="120"/>
      <w:ind w:left="360"/>
      <w:contextualSpacing/>
    </w:pPr>
  </w:style>
  <w:style w:type="paragraph" w:styleId="23">
    <w:name w:val="List Bullet 2"/>
    <w:basedOn w:val="1"/>
    <w:unhideWhenUsed/>
    <w:uiPriority w:val="99"/>
    <w:pPr>
      <w:numPr>
        <w:ilvl w:val="0"/>
        <w:numId w:val="6"/>
      </w:numPr>
      <w:contextualSpacing/>
    </w:pPr>
  </w:style>
  <w:style w:type="paragraph" w:styleId="24">
    <w:name w:val="footer"/>
    <w:basedOn w:val="1"/>
    <w:link w:val="136"/>
    <w:unhideWhenUsed/>
    <w:uiPriority w:val="99"/>
    <w:pPr>
      <w:tabs>
        <w:tab w:val="center" w:pos="4680"/>
        <w:tab w:val="right" w:pos="9360"/>
      </w:tabs>
      <w:spacing w:after="0" w:line="240" w:lineRule="auto"/>
    </w:pPr>
  </w:style>
  <w:style w:type="paragraph" w:styleId="25">
    <w:name w:val="header"/>
    <w:basedOn w:val="1"/>
    <w:link w:val="135"/>
    <w:unhideWhenUsed/>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uiPriority w:val="99"/>
    <w:pPr>
      <w:ind w:left="360" w:hanging="360"/>
      <w:contextualSpacing/>
    </w:pPr>
  </w:style>
  <w:style w:type="paragraph" w:styleId="28">
    <w:name w:val="Body Text 2"/>
    <w:basedOn w:val="1"/>
    <w:link w:val="145"/>
    <w:unhideWhenUsed/>
    <w:uiPriority w:val="99"/>
    <w:pPr>
      <w:spacing w:after="120" w:line="480" w:lineRule="auto"/>
    </w:pPr>
  </w:style>
  <w:style w:type="paragraph" w:styleId="29">
    <w:name w:val="List Continue 2"/>
    <w:basedOn w:val="1"/>
    <w:unhideWhenUsed/>
    <w:uiPriority w:val="99"/>
    <w:pPr>
      <w:spacing w:after="120"/>
      <w:ind w:left="720"/>
      <w:contextualSpacing/>
    </w:pPr>
  </w:style>
  <w:style w:type="paragraph" w:styleId="30">
    <w:name w:val="List Continue 3"/>
    <w:basedOn w:val="1"/>
    <w:unhideWhenUsed/>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uiPriority w:val="99"/>
  </w:style>
  <w:style w:type="character" w:customStyle="1" w:styleId="136">
    <w:name w:val="Footer Char"/>
    <w:basedOn w:val="132"/>
    <w:link w:val="24"/>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uiPriority w:val="99"/>
  </w:style>
  <w:style w:type="character" w:customStyle="1" w:styleId="145">
    <w:name w:val="Body Text 2 Char"/>
    <w:basedOn w:val="132"/>
    <w:link w:val="28"/>
    <w:qFormat/>
    <w:uiPriority w:val="99"/>
  </w:style>
  <w:style w:type="character" w:customStyle="1" w:styleId="146">
    <w:name w:val="Body Text 3 Char"/>
    <w:basedOn w:val="132"/>
    <w:link w:val="17"/>
    <w:uiPriority w:val="99"/>
    <w:rPr>
      <w:sz w:val="16"/>
      <w:szCs w:val="16"/>
    </w:rPr>
  </w:style>
  <w:style w:type="character" w:customStyle="1" w:styleId="147">
    <w:name w:val="Macro Text Char"/>
    <w:basedOn w:val="132"/>
    <w:link w:val="2"/>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uiPriority w:val="29"/>
    <w:rPr>
      <w:i/>
      <w:iCs/>
      <w:color w:val="000000" w:themeColor="text1"/>
      <w14:textFill>
        <w14:solidFill>
          <w14:schemeClr w14:val="tx1"/>
        </w14:solidFill>
      </w14:textFill>
    </w:rPr>
  </w:style>
  <w:style w:type="character" w:customStyle="1" w:styleId="150">
    <w:name w:val="Heading 4 Char"/>
    <w:basedOn w:val="132"/>
    <w:link w:val="6"/>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1629</Words>
  <Characters>1814</Characters>
  <Lines>0</Lines>
  <Paragraphs>0</Paragraphs>
  <TotalTime>0</TotalTime>
  <ScaleCrop>false</ScaleCrop>
  <LinksUpToDate>false</LinksUpToDate>
  <CharactersWithSpaces>1814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刚刚好</cp:lastModifiedBy>
  <dcterms:modified xsi:type="dcterms:W3CDTF">2026-08-07T09:28:32Z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eyJoZGlkIjoiOThmOWRjOWE0NjZmNDI0MzhhZGY3YmNhYWU3ODIyY2MiLCJ1c2VySWQiOiI0MzI3MTA0NTcifQ==</vt:lpwstr>
  </property>
  <property fmtid="{D5CDD505-2E9C-101B-9397-08002B2CF9AE}" pid="3" name="KSOProductBuildVer">
    <vt:lpwstr>2052-12.1.0.28043</vt:lpwstr>
  </property>
  <property fmtid="{D5CDD505-2E9C-101B-9397-08002B2CF9AE}" pid="4" name="ICV">
    <vt:lpwstr>4F5F600804E24171831443F421B2D4C9_12</vt:lpwstr>
  </property>
</Properties>
</file>