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807A6">
      <w:pPr>
        <w:pStyle w:val="2"/>
        <w:bidi w:val="0"/>
        <w:rPr>
          <w:rFonts w:hint="eastAsia" w:ascii="楷体" w:hAnsi="楷体" w:eastAsia="楷体" w:cs="楷体"/>
          <w:sz w:val="44"/>
          <w:szCs w:val="44"/>
        </w:rPr>
      </w:pPr>
      <w:bookmarkStart w:id="0" w:name="_GoBack"/>
      <w:r>
        <w:rPr>
          <w:rFonts w:hint="eastAsia" w:ascii="楷体" w:hAnsi="楷体" w:eastAsia="楷体" w:cs="楷体"/>
          <w:sz w:val="44"/>
          <w:szCs w:val="44"/>
        </w:rPr>
        <w:t>类器官芯片：AI加持下的“人体实验室”，能否终结动物实验时代？</w:t>
      </w:r>
    </w:p>
    <w:bookmarkEnd w:id="0"/>
    <w:p w14:paraId="7C10C651">
      <w:pPr>
        <w:rPr>
          <w:rFonts w:hint="eastAsia" w:ascii="楷体" w:hAnsi="楷体" w:eastAsia="楷体" w:cs="楷体"/>
          <w:sz w:val="28"/>
          <w:szCs w:val="28"/>
        </w:rPr>
      </w:pPr>
    </w:p>
    <w:p w14:paraId="53354808">
      <w:pPr>
        <w:rPr>
          <w:rFonts w:hint="eastAsia" w:ascii="楷体" w:hAnsi="楷体" w:eastAsia="楷体" w:cs="楷体"/>
          <w:sz w:val="28"/>
          <w:szCs w:val="28"/>
        </w:rPr>
      </w:pPr>
    </w:p>
    <w:p w14:paraId="3991D058">
      <w:pPr>
        <w:rPr>
          <w:rFonts w:hint="eastAsia" w:ascii="楷体" w:hAnsi="楷体" w:eastAsia="楷体" w:cs="楷体"/>
          <w:sz w:val="28"/>
          <w:szCs w:val="28"/>
        </w:rPr>
      </w:pPr>
      <w:r>
        <w:rPr>
          <w:rFonts w:hint="eastAsia" w:ascii="楷体" w:hAnsi="楷体" w:eastAsia="楷体" w:cs="楷体"/>
          <w:sz w:val="28"/>
          <w:szCs w:val="28"/>
        </w:rPr>
        <w:t>人体器官的形成、发育、病理等机制一直是萦绕在科学家脑中的难题，如何建立高度逼真的人体器官模型是解决问题的关键。目前主要依赖于传统的细胞和动物模型。近年来，类器官和器官芯片作为新兴的细胞培养技术，得到迅速发展，大有强抢小白鼠“饭碗”的趋势。最近，两者还来了个“亲上加亲”，诞生了类器官芯片。如果再结合最近火热的AI技术，会不会在体外构建高度仿生的“人体实验室”，结束生物研究、疾病建模、药物筛选等领域的动物实验时代呢？</w:t>
      </w:r>
    </w:p>
    <w:p w14:paraId="383AAF10">
      <w:pPr>
        <w:pStyle w:val="3"/>
        <w:bidi w:val="0"/>
        <w:rPr>
          <w:rFonts w:hint="eastAsia" w:ascii="楷体" w:hAnsi="楷体" w:eastAsia="楷体" w:cs="楷体"/>
        </w:rPr>
      </w:pPr>
      <w:r>
        <w:rPr>
          <w:rFonts w:hint="eastAsia" w:ascii="楷体" w:hAnsi="楷体" w:eastAsia="楷体" w:cs="楷体"/>
        </w:rPr>
        <w:t>AI与类器官及芯片的融合：药物研发的颠覆性变革</w:t>
      </w:r>
    </w:p>
    <w:p w14:paraId="5E63BF37">
      <w:pPr>
        <w:rPr>
          <w:rFonts w:hint="eastAsia" w:ascii="楷体" w:hAnsi="楷体" w:eastAsia="楷体" w:cs="楷体"/>
          <w:sz w:val="28"/>
          <w:szCs w:val="28"/>
        </w:rPr>
      </w:pPr>
      <w:r>
        <w:rPr>
          <w:rFonts w:hint="eastAsia" w:ascii="楷体" w:hAnsi="楷体" w:eastAsia="楷体" w:cs="楷体"/>
          <w:sz w:val="28"/>
          <w:szCs w:val="28"/>
        </w:rPr>
        <w:t>传统药物研发面临成本超高、周期长、成功率低三重困境。据统计2000年1月1日至2015年10月31日期间，21143种候选药物在临床实验中的失败率达到了86.2%。这些不尽人意的结果部分归因于动物模型、普通二维细胞与患者之间存在的诸多差异。</w:t>
      </w:r>
    </w:p>
    <w:p w14:paraId="664BAF97">
      <w:pPr>
        <w:jc w:val="center"/>
        <w:rPr>
          <w:rFonts w:hint="eastAsia" w:ascii="楷体" w:hAnsi="楷体" w:eastAsia="楷体" w:cs="楷体"/>
          <w:sz w:val="28"/>
          <w:szCs w:val="28"/>
          <w:lang w:eastAsia="zh-CN"/>
        </w:rPr>
      </w:pPr>
      <w:r>
        <w:rPr>
          <w:rFonts w:hint="eastAsia" w:ascii="楷体" w:hAnsi="楷体" w:eastAsia="楷体" w:cs="楷体"/>
          <w:sz w:val="28"/>
          <w:szCs w:val="28"/>
          <w:lang w:eastAsia="zh-CN"/>
        </w:rPr>
        <w:drawing>
          <wp:inline distT="0" distB="0" distL="114300" distR="114300">
            <wp:extent cx="5133975" cy="3800475"/>
            <wp:effectExtent l="0" t="0" r="9525" b="952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6"/>
                    <a:stretch>
                      <a:fillRect/>
                    </a:stretch>
                  </pic:blipFill>
                  <pic:spPr>
                    <a:xfrm>
                      <a:off x="0" y="0"/>
                      <a:ext cx="5133975" cy="3800475"/>
                    </a:xfrm>
                    <a:prstGeom prst="rect">
                      <a:avLst/>
                    </a:prstGeom>
                  </pic:spPr>
                </pic:pic>
              </a:graphicData>
            </a:graphic>
          </wp:inline>
        </w:drawing>
      </w:r>
    </w:p>
    <w:p w14:paraId="7B52A823">
      <w:pPr>
        <w:rPr>
          <w:rFonts w:hint="eastAsia" w:ascii="楷体" w:hAnsi="楷体" w:eastAsia="楷体" w:cs="楷体"/>
          <w:sz w:val="24"/>
          <w:szCs w:val="24"/>
        </w:rPr>
      </w:pPr>
      <w:r>
        <w:rPr>
          <w:rFonts w:hint="eastAsia" w:ascii="楷体" w:hAnsi="楷体" w:eastAsia="楷体" w:cs="楷体"/>
          <w:sz w:val="24"/>
          <w:szCs w:val="24"/>
        </w:rPr>
        <w:t>传统药物研发的不足（源自文献：doi: 10.59717/j.xinn-life.2024.100115）</w:t>
      </w:r>
    </w:p>
    <w:p w14:paraId="2DDE8155">
      <w:pPr>
        <w:rPr>
          <w:rFonts w:hint="eastAsia" w:ascii="楷体" w:hAnsi="楷体" w:eastAsia="楷体" w:cs="楷体"/>
          <w:sz w:val="28"/>
          <w:szCs w:val="28"/>
        </w:rPr>
      </w:pPr>
    </w:p>
    <w:p w14:paraId="71A07514">
      <w:pPr>
        <w:rPr>
          <w:rFonts w:hint="eastAsia" w:ascii="楷体" w:hAnsi="楷体" w:eastAsia="楷体" w:cs="楷体"/>
          <w:sz w:val="28"/>
          <w:szCs w:val="28"/>
        </w:rPr>
      </w:pPr>
      <w:r>
        <w:rPr>
          <w:rFonts w:hint="eastAsia" w:ascii="楷体" w:hAnsi="楷体" w:eastAsia="楷体" w:cs="楷体"/>
          <w:sz w:val="28"/>
          <w:szCs w:val="28"/>
        </w:rPr>
        <w:t>开发更高生理相关性的人源模型势在必行。</w:t>
      </w:r>
    </w:p>
    <w:p w14:paraId="3723EEC0">
      <w:pPr>
        <w:rPr>
          <w:rFonts w:hint="eastAsia" w:ascii="楷体" w:hAnsi="楷体" w:eastAsia="楷体" w:cs="楷体"/>
          <w:sz w:val="28"/>
          <w:szCs w:val="28"/>
        </w:rPr>
      </w:pPr>
      <w:r>
        <w:rPr>
          <w:rFonts w:hint="eastAsia" w:ascii="楷体" w:hAnsi="楷体" w:eastAsia="楷体" w:cs="楷体"/>
          <w:sz w:val="28"/>
          <w:szCs w:val="28"/>
        </w:rPr>
        <w:t>类器官通过干细胞或组织样本形成3D器官模型，能模拟真实器官的复杂结构、组织异质性和关键功能。科研人员已成功建立脑、肝、肠道等多种生理性或病理性类器官模型。</w:t>
      </w:r>
    </w:p>
    <w:p w14:paraId="2329FD93">
      <w:pPr>
        <w:rPr>
          <w:rFonts w:hint="eastAsia" w:ascii="楷体" w:hAnsi="楷体" w:eastAsia="楷体" w:cs="楷体"/>
          <w:sz w:val="28"/>
          <w:szCs w:val="28"/>
        </w:rPr>
      </w:pPr>
      <w:r>
        <w:rPr>
          <w:rFonts w:hint="eastAsia" w:ascii="楷体" w:hAnsi="楷体" w:eastAsia="楷体" w:cs="楷体"/>
          <w:sz w:val="28"/>
          <w:szCs w:val="28"/>
        </w:rPr>
        <w:t>器官芯片能够在体外重现人体器官的动态微环境，模拟器官间的功能互作。呼吸肺、蠕动肠、节律性心脏、折叠大脑等用于模拟人类生理病理生态系统的器官芯片已被开发出来。</w:t>
      </w:r>
    </w:p>
    <w:p w14:paraId="1F528E7F">
      <w:pPr>
        <w:rPr>
          <w:rFonts w:hint="eastAsia" w:ascii="楷体" w:hAnsi="楷体" w:eastAsia="楷体" w:cs="楷体"/>
          <w:sz w:val="28"/>
          <w:szCs w:val="28"/>
        </w:rPr>
      </w:pPr>
      <w:r>
        <w:rPr>
          <w:rFonts w:hint="eastAsia" w:ascii="楷体" w:hAnsi="楷体" w:eastAsia="楷体" w:cs="楷体"/>
          <w:sz w:val="28"/>
          <w:szCs w:val="28"/>
        </w:rPr>
        <w:t>类器官和器官芯片作为人源化模型，能够更准确、高效的模拟人类疾病生理学，正在改变着生物医学研究的未来。AI与类器官和器官芯片的无缝衔接，提升高通量筛选和临床前预测的准确性，重构患者用药以及实现精准医疗，加速药物发现进程。</w:t>
      </w:r>
    </w:p>
    <w:p w14:paraId="11AFC91B">
      <w:pPr>
        <w:jc w:val="center"/>
        <w:rPr>
          <w:rFonts w:hint="eastAsia" w:ascii="楷体" w:hAnsi="楷体" w:eastAsia="楷体" w:cs="楷体"/>
          <w:sz w:val="28"/>
          <w:szCs w:val="28"/>
          <w:lang w:eastAsia="zh-CN"/>
        </w:rPr>
      </w:pPr>
      <w:r>
        <w:rPr>
          <w:rFonts w:hint="eastAsia" w:ascii="楷体" w:hAnsi="楷体" w:eastAsia="楷体" w:cs="楷体"/>
          <w:sz w:val="28"/>
          <w:szCs w:val="28"/>
          <w:lang w:eastAsia="zh-CN"/>
        </w:rPr>
        <w:drawing>
          <wp:inline distT="0" distB="0" distL="114300" distR="114300">
            <wp:extent cx="4896485" cy="8845550"/>
            <wp:effectExtent l="0" t="0" r="18415" b="1270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7"/>
                    <a:stretch>
                      <a:fillRect/>
                    </a:stretch>
                  </pic:blipFill>
                  <pic:spPr>
                    <a:xfrm>
                      <a:off x="0" y="0"/>
                      <a:ext cx="4896485" cy="8845550"/>
                    </a:xfrm>
                    <a:prstGeom prst="rect">
                      <a:avLst/>
                    </a:prstGeom>
                  </pic:spPr>
                </pic:pic>
              </a:graphicData>
            </a:graphic>
          </wp:inline>
        </w:drawing>
      </w:r>
    </w:p>
    <w:p w14:paraId="0E151DEA">
      <w:pPr>
        <w:rPr>
          <w:rFonts w:hint="eastAsia" w:ascii="楷体" w:hAnsi="楷体" w:eastAsia="楷体" w:cs="楷体"/>
          <w:sz w:val="24"/>
          <w:szCs w:val="24"/>
        </w:rPr>
      </w:pPr>
      <w:r>
        <w:rPr>
          <w:rFonts w:hint="eastAsia" w:ascii="楷体" w:hAnsi="楷体" w:eastAsia="楷体" w:cs="楷体"/>
          <w:sz w:val="24"/>
          <w:szCs w:val="24"/>
        </w:rPr>
        <w:t>AI与类器官和器官芯片的无缝衔接（源自文献：doi: 10.59717/j.xinn-life.2024.100115）</w:t>
      </w:r>
    </w:p>
    <w:p w14:paraId="747E56FE">
      <w:pPr>
        <w:rPr>
          <w:rFonts w:hint="eastAsia" w:ascii="楷体" w:hAnsi="楷体" w:eastAsia="楷体" w:cs="楷体"/>
          <w:sz w:val="28"/>
          <w:szCs w:val="28"/>
        </w:rPr>
      </w:pPr>
    </w:p>
    <w:p w14:paraId="148B0062">
      <w:pPr>
        <w:pStyle w:val="3"/>
        <w:bidi w:val="0"/>
        <w:rPr>
          <w:rFonts w:hint="eastAsia" w:ascii="楷体" w:hAnsi="楷体" w:eastAsia="楷体" w:cs="楷体"/>
        </w:rPr>
      </w:pPr>
      <w:r>
        <w:rPr>
          <w:rFonts w:hint="eastAsia" w:ascii="楷体" w:hAnsi="楷体" w:eastAsia="楷体" w:cs="楷体"/>
        </w:rPr>
        <w:t>传统模型与新兴技术的“迭代”</w:t>
      </w:r>
    </w:p>
    <w:p w14:paraId="41387C31">
      <w:pPr>
        <w:rPr>
          <w:rFonts w:hint="eastAsia" w:ascii="楷体" w:hAnsi="楷体" w:eastAsia="楷体" w:cs="楷体"/>
          <w:sz w:val="28"/>
          <w:szCs w:val="28"/>
        </w:rPr>
      </w:pPr>
      <w:r>
        <w:rPr>
          <w:rFonts w:hint="eastAsia" w:ascii="楷体" w:hAnsi="楷体" w:eastAsia="楷体" w:cs="楷体"/>
          <w:sz w:val="28"/>
          <w:szCs w:val="28"/>
        </w:rPr>
        <w:t>传统模型，如常规培养细胞和动物模型，奠定了生物医学研究的基础，是目前药物开发与审核的“正规军”。传统模型能够体现基本结构和功能，系统研究机体对外源物质的反应和发病机制，整个生态圈成熟。</w:t>
      </w:r>
    </w:p>
    <w:p w14:paraId="04E0CE52">
      <w:pPr>
        <w:rPr>
          <w:rFonts w:hint="eastAsia" w:ascii="楷体" w:hAnsi="楷体" w:eastAsia="楷体" w:cs="楷体"/>
          <w:sz w:val="28"/>
          <w:szCs w:val="28"/>
        </w:rPr>
      </w:pPr>
      <w:r>
        <w:rPr>
          <w:rFonts w:hint="eastAsia" w:ascii="楷体" w:hAnsi="楷体" w:eastAsia="楷体" w:cs="楷体"/>
          <w:sz w:val="28"/>
          <w:szCs w:val="28"/>
        </w:rPr>
        <w:t>现在，传统模型正在面临挑战。常规培养细胞难以真实反应细胞在体内的微环境和三维结构，动物模型与人体生理病理状态存在种属差异。</w:t>
      </w:r>
    </w:p>
    <w:p w14:paraId="121B5320">
      <w:pPr>
        <w:numPr>
          <w:ilvl w:val="0"/>
          <w:numId w:val="1"/>
        </w:numPr>
        <w:rPr>
          <w:rFonts w:hint="eastAsia" w:ascii="楷体" w:hAnsi="楷体" w:eastAsia="楷体" w:cs="楷体"/>
          <w:b/>
          <w:bCs/>
          <w:sz w:val="28"/>
          <w:szCs w:val="28"/>
        </w:rPr>
      </w:pPr>
      <w:r>
        <w:rPr>
          <w:rFonts w:hint="eastAsia" w:ascii="楷体" w:hAnsi="楷体" w:eastAsia="楷体" w:cs="楷体"/>
          <w:b/>
          <w:bCs/>
          <w:sz w:val="28"/>
          <w:szCs w:val="28"/>
        </w:rPr>
        <w:t>类器官（Human Organoid, HO）</w:t>
      </w:r>
    </w:p>
    <w:p w14:paraId="4A953C79">
      <w:pPr>
        <w:numPr>
          <w:ilvl w:val="0"/>
          <w:numId w:val="0"/>
        </w:numPr>
        <w:rPr>
          <w:rFonts w:hint="eastAsia" w:ascii="楷体" w:hAnsi="楷体" w:eastAsia="楷体" w:cs="楷体"/>
          <w:sz w:val="28"/>
          <w:szCs w:val="28"/>
        </w:rPr>
      </w:pPr>
      <w:r>
        <w:rPr>
          <w:rFonts w:hint="eastAsia" w:ascii="楷体" w:hAnsi="楷体" w:eastAsia="楷体" w:cs="楷体"/>
          <w:sz w:val="28"/>
          <w:szCs w:val="28"/>
        </w:rPr>
        <w:t>类器官是体外培养的3D多细胞体系，一般由多能干细胞（PSC）或成体干细胞（ASC）衍生，在生理结构和功能上与人类组织或器官高度相似。</w:t>
      </w:r>
    </w:p>
    <w:p w14:paraId="6D04E14E">
      <w:pPr>
        <w:rPr>
          <w:rFonts w:hint="eastAsia" w:ascii="楷体" w:hAnsi="楷体" w:eastAsia="楷体" w:cs="楷体"/>
          <w:sz w:val="28"/>
          <w:szCs w:val="28"/>
        </w:rPr>
      </w:pPr>
      <w:r>
        <w:rPr>
          <w:rFonts w:hint="eastAsia" w:ascii="楷体" w:hAnsi="楷体" w:eastAsia="楷体" w:cs="楷体"/>
          <w:sz w:val="28"/>
          <w:szCs w:val="28"/>
        </w:rPr>
        <w:t>在培养过程中，PSC来源的类器官需要根据特定谱系的发育途径，及时且有序的添加相应细胞因子，确保干细胞在分化过程中形成正确的区域特征，并通过特异的生物标志物或功能来鉴定识别类器官。PSC衍生的类器官支持通过整合多细胞元素构建更为复杂的结构，例如血管和免疫系统。</w:t>
      </w:r>
    </w:p>
    <w:p w14:paraId="148F67A2">
      <w:pPr>
        <w:rPr>
          <w:rFonts w:hint="eastAsia" w:ascii="楷体" w:hAnsi="楷体" w:eastAsia="楷体" w:cs="楷体"/>
          <w:sz w:val="28"/>
          <w:szCs w:val="28"/>
        </w:rPr>
      </w:pPr>
      <w:r>
        <w:rPr>
          <w:rFonts w:hint="eastAsia" w:ascii="楷体" w:hAnsi="楷体" w:eastAsia="楷体" w:cs="楷体"/>
          <w:sz w:val="28"/>
          <w:szCs w:val="28"/>
        </w:rPr>
        <w:t>ASC来源的类器官（如患者来源的肿瘤类器官）不需要经过胚层引导，接种到细胞外基质后通过不同的细胞因子进行培养。ASC衍生的类器官能够形成与患者相同基因的同源三维结构，为个性化治疗和精准医学提供可能。</w:t>
      </w:r>
    </w:p>
    <w:p w14:paraId="678D11B0">
      <w:pPr>
        <w:jc w:val="center"/>
        <w:rPr>
          <w:rFonts w:hint="eastAsia" w:ascii="楷体" w:hAnsi="楷体" w:eastAsia="楷体" w:cs="楷体"/>
          <w:sz w:val="28"/>
          <w:szCs w:val="28"/>
          <w:lang w:eastAsia="zh-CN"/>
        </w:rPr>
      </w:pPr>
      <w:r>
        <w:rPr>
          <w:rFonts w:hint="eastAsia" w:ascii="楷体" w:hAnsi="楷体" w:eastAsia="楷体" w:cs="楷体"/>
          <w:sz w:val="28"/>
          <w:szCs w:val="28"/>
          <w:lang w:eastAsia="zh-CN"/>
        </w:rPr>
        <w:drawing>
          <wp:inline distT="0" distB="0" distL="114300" distR="114300">
            <wp:extent cx="5266690" cy="3126105"/>
            <wp:effectExtent l="0" t="0" r="10160" b="171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8"/>
                    <a:stretch>
                      <a:fillRect/>
                    </a:stretch>
                  </pic:blipFill>
                  <pic:spPr>
                    <a:xfrm>
                      <a:off x="0" y="0"/>
                      <a:ext cx="5266690" cy="3126105"/>
                    </a:xfrm>
                    <a:prstGeom prst="rect">
                      <a:avLst/>
                    </a:prstGeom>
                  </pic:spPr>
                </pic:pic>
              </a:graphicData>
            </a:graphic>
          </wp:inline>
        </w:drawing>
      </w:r>
    </w:p>
    <w:p w14:paraId="20B8FE8C">
      <w:pPr>
        <w:jc w:val="center"/>
        <w:rPr>
          <w:rFonts w:hint="eastAsia" w:ascii="楷体" w:hAnsi="楷体" w:eastAsia="楷体" w:cs="楷体"/>
          <w:sz w:val="24"/>
          <w:szCs w:val="24"/>
        </w:rPr>
      </w:pPr>
      <w:r>
        <w:rPr>
          <w:rFonts w:hint="eastAsia" w:ascii="楷体" w:hAnsi="楷体" w:eastAsia="楷体" w:cs="楷体"/>
          <w:sz w:val="24"/>
          <w:szCs w:val="24"/>
        </w:rPr>
        <w:t>类器官研究进展（源自文献：doi: 10.1186/s13020-025-01071-8）</w:t>
      </w:r>
    </w:p>
    <w:p w14:paraId="64B6C371">
      <w:pPr>
        <w:rPr>
          <w:rFonts w:hint="eastAsia" w:ascii="楷体" w:hAnsi="楷体" w:eastAsia="楷体" w:cs="楷体"/>
          <w:sz w:val="28"/>
          <w:szCs w:val="28"/>
        </w:rPr>
      </w:pPr>
    </w:p>
    <w:p w14:paraId="1FC1D810">
      <w:pPr>
        <w:rPr>
          <w:rFonts w:hint="eastAsia" w:ascii="楷体" w:hAnsi="楷体" w:eastAsia="楷体" w:cs="楷体"/>
          <w:sz w:val="28"/>
          <w:szCs w:val="28"/>
        </w:rPr>
      </w:pPr>
      <w:r>
        <w:rPr>
          <w:rFonts w:hint="eastAsia" w:ascii="楷体" w:hAnsi="楷体" w:eastAsia="楷体" w:cs="楷体"/>
          <w:sz w:val="28"/>
          <w:szCs w:val="28"/>
        </w:rPr>
        <w:t>肿瘤类器官（PDO）是当前研究的热点领域，主要来自癌症患者的活检或手术组织中的干细胞，能够忠实地再现其来源癌症组织的特征，对药物的敏感性呈现出良好的临床预测价值。PDO能够在体外稳定培养和传代，为研究肿瘤的多种不同方面提供了重要的模型，如稳态、肿瘤发生、癌症转化的相关机制。</w:t>
      </w:r>
    </w:p>
    <w:p w14:paraId="19A7F92B">
      <w:pPr>
        <w:rPr>
          <w:rFonts w:hint="eastAsia" w:ascii="楷体" w:hAnsi="楷体" w:eastAsia="楷体" w:cs="楷体"/>
          <w:b/>
          <w:bCs/>
          <w:sz w:val="28"/>
          <w:szCs w:val="28"/>
        </w:rPr>
      </w:pPr>
      <w:r>
        <w:rPr>
          <w:rFonts w:hint="eastAsia" w:ascii="楷体" w:hAnsi="楷体" w:eastAsia="楷体" w:cs="楷体"/>
          <w:b/>
          <w:bCs/>
          <w:sz w:val="28"/>
          <w:szCs w:val="28"/>
        </w:rPr>
        <w:t>2</w:t>
      </w:r>
      <w:r>
        <w:rPr>
          <w:rFonts w:hint="eastAsia" w:ascii="楷体" w:hAnsi="楷体" w:eastAsia="楷体" w:cs="楷体"/>
          <w:b/>
          <w:bCs/>
          <w:sz w:val="28"/>
          <w:szCs w:val="28"/>
          <w:lang w:eastAsia="zh-CN"/>
        </w:rPr>
        <w:t>、</w:t>
      </w:r>
      <w:r>
        <w:rPr>
          <w:rFonts w:hint="eastAsia" w:ascii="楷体" w:hAnsi="楷体" w:eastAsia="楷体" w:cs="楷体"/>
          <w:b/>
          <w:bCs/>
          <w:sz w:val="28"/>
          <w:szCs w:val="28"/>
        </w:rPr>
        <w:t>器官芯片（Organs-on-chip, OOC）</w:t>
      </w:r>
    </w:p>
    <w:p w14:paraId="62D3EB83">
      <w:pPr>
        <w:rPr>
          <w:rFonts w:hint="eastAsia" w:ascii="楷体" w:hAnsi="楷体" w:eastAsia="楷体" w:cs="楷体"/>
          <w:sz w:val="28"/>
          <w:szCs w:val="28"/>
        </w:rPr>
      </w:pPr>
      <w:r>
        <w:rPr>
          <w:rFonts w:hint="eastAsia" w:ascii="楷体" w:hAnsi="楷体" w:eastAsia="楷体" w:cs="楷体"/>
          <w:sz w:val="28"/>
          <w:szCs w:val="28"/>
        </w:rPr>
        <w:t>器官芯片是利用微加工和微流控技术，在芯片上构建的包含多种细胞类型的体外微生理系统，能够模拟人体器官的关键功能和微环境。</w:t>
      </w:r>
    </w:p>
    <w:p w14:paraId="424BA962">
      <w:pPr>
        <w:rPr>
          <w:rFonts w:hint="eastAsia" w:ascii="楷体" w:hAnsi="楷体" w:eastAsia="楷体" w:cs="楷体"/>
          <w:sz w:val="28"/>
          <w:szCs w:val="28"/>
        </w:rPr>
      </w:pPr>
      <w:r>
        <w:rPr>
          <w:rFonts w:hint="eastAsia" w:ascii="楷体" w:hAnsi="楷体" w:eastAsia="楷体" w:cs="楷体"/>
          <w:sz w:val="28"/>
          <w:szCs w:val="28"/>
        </w:rPr>
        <w:t>OOC强调通过创建与人体原器官相关的生态位条件来调控细胞行为，如通过3D拓扑结构引导细胞的定向迁移和分化、模拟运动器官的机械运动、模拟营养物质交换等生理条件。OOC还可以在特定培养系统中引入电磁或光学制动器，模拟心脏的跳动和血液流动，研究药物对心脏功能的影响。OCC还具有高分辨原位成像能力，实时监测细胞对外部及内部刺激的反应，可用来研究肝脏的代谢、解毒功能以及药物对肝的毒性。</w:t>
      </w:r>
    </w:p>
    <w:p w14:paraId="564E40E9">
      <w:pPr>
        <w:rPr>
          <w:rFonts w:hint="eastAsia" w:ascii="楷体" w:hAnsi="楷体" w:eastAsia="楷体" w:cs="楷体"/>
          <w:sz w:val="28"/>
          <w:szCs w:val="28"/>
        </w:rPr>
      </w:pPr>
      <w:r>
        <w:rPr>
          <w:rFonts w:hint="eastAsia" w:ascii="楷体" w:hAnsi="楷体" w:eastAsia="楷体" w:cs="楷体"/>
          <w:sz w:val="28"/>
          <w:szCs w:val="28"/>
        </w:rPr>
        <w:t>目前，OOC技术已“重现”多个人体器官，如肺、肠道、大脑、心脏、软骨等，这些模型在器官再生、疾病研究及药物筛选等领域潜力巨大。</w:t>
      </w:r>
    </w:p>
    <w:p w14:paraId="495B01BC">
      <w:pPr>
        <w:jc w:val="center"/>
        <w:rPr>
          <w:rFonts w:hint="eastAsia" w:ascii="楷体" w:hAnsi="楷体" w:eastAsia="楷体" w:cs="楷体"/>
          <w:sz w:val="28"/>
          <w:szCs w:val="28"/>
          <w:lang w:eastAsia="zh-CN"/>
        </w:rPr>
      </w:pPr>
      <w:r>
        <w:rPr>
          <w:rFonts w:hint="eastAsia" w:ascii="楷体" w:hAnsi="楷体" w:eastAsia="楷体" w:cs="楷体"/>
          <w:sz w:val="28"/>
          <w:szCs w:val="28"/>
          <w:lang w:eastAsia="zh-CN"/>
        </w:rPr>
        <w:drawing>
          <wp:inline distT="0" distB="0" distL="114300" distR="114300">
            <wp:extent cx="5266690" cy="3194050"/>
            <wp:effectExtent l="0" t="0" r="10160" b="6350"/>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
                    <pic:cNvPicPr>
                      <a:picLocks noChangeAspect="1"/>
                    </pic:cNvPicPr>
                  </pic:nvPicPr>
                  <pic:blipFill>
                    <a:blip r:embed="rId9"/>
                    <a:stretch>
                      <a:fillRect/>
                    </a:stretch>
                  </pic:blipFill>
                  <pic:spPr>
                    <a:xfrm>
                      <a:off x="0" y="0"/>
                      <a:ext cx="5266690" cy="3194050"/>
                    </a:xfrm>
                    <a:prstGeom prst="rect">
                      <a:avLst/>
                    </a:prstGeom>
                  </pic:spPr>
                </pic:pic>
              </a:graphicData>
            </a:graphic>
          </wp:inline>
        </w:drawing>
      </w:r>
    </w:p>
    <w:p w14:paraId="05CFBB54">
      <w:pPr>
        <w:rPr>
          <w:rFonts w:hint="eastAsia" w:ascii="楷体" w:hAnsi="楷体" w:eastAsia="楷体" w:cs="楷体"/>
          <w:sz w:val="24"/>
          <w:szCs w:val="24"/>
        </w:rPr>
      </w:pPr>
      <w:r>
        <w:rPr>
          <w:rFonts w:hint="eastAsia" w:ascii="楷体" w:hAnsi="楷体" w:eastAsia="楷体" w:cs="楷体"/>
          <w:sz w:val="24"/>
          <w:szCs w:val="24"/>
        </w:rPr>
        <w:t>器官芯片模拟人体代谢过程（源自文献：doi: 10.1186/s13020-025-01071-8）</w:t>
      </w:r>
    </w:p>
    <w:p w14:paraId="3D07259A">
      <w:pPr>
        <w:rPr>
          <w:rFonts w:hint="eastAsia" w:ascii="楷体" w:hAnsi="楷体" w:eastAsia="楷体" w:cs="楷体"/>
          <w:sz w:val="28"/>
          <w:szCs w:val="28"/>
        </w:rPr>
      </w:pPr>
    </w:p>
    <w:p w14:paraId="0D0CDC53">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val="en-US" w:eastAsia="zh-CN"/>
        </w:rPr>
        <w:t>3、</w:t>
      </w:r>
      <w:r>
        <w:rPr>
          <w:rFonts w:hint="eastAsia" w:ascii="楷体" w:hAnsi="楷体" w:eastAsia="楷体" w:cs="楷体"/>
          <w:b/>
          <w:bCs/>
          <w:sz w:val="28"/>
          <w:szCs w:val="28"/>
        </w:rPr>
        <w:t>类器官芯片（Organoids-on-chip, OrgOC）</w:t>
      </w:r>
    </w:p>
    <w:p w14:paraId="2253B7A7">
      <w:pPr>
        <w:numPr>
          <w:ilvl w:val="0"/>
          <w:numId w:val="0"/>
        </w:numPr>
        <w:ind w:leftChars="0"/>
        <w:rPr>
          <w:rFonts w:hint="eastAsia" w:ascii="楷体" w:hAnsi="楷体" w:eastAsia="楷体" w:cs="楷体"/>
          <w:sz w:val="28"/>
          <w:szCs w:val="28"/>
        </w:rPr>
      </w:pPr>
      <w:r>
        <w:rPr>
          <w:rFonts w:hint="eastAsia" w:ascii="楷体" w:hAnsi="楷体" w:eastAsia="楷体" w:cs="楷体"/>
          <w:sz w:val="28"/>
          <w:szCs w:val="28"/>
        </w:rPr>
        <w:t>HO和OOC代表两种不同但互为补充的仿生人体器官模型，将保真度高的HO与集成度高的OOC结合在一起，是否会进一步缩小生物研究与临床结果之间的转化鸿沟呢？于是，科研人员开发了类器官芯片（Organoids-on-chip, OrgOC）技术。2019年，Science首次提出类器官芯片的概念。</w:t>
      </w:r>
    </w:p>
    <w:p w14:paraId="7177BDE4">
      <w:pPr>
        <w:rPr>
          <w:rFonts w:hint="eastAsia" w:ascii="楷体" w:hAnsi="楷体" w:eastAsia="楷体" w:cs="楷体"/>
          <w:sz w:val="28"/>
          <w:szCs w:val="28"/>
        </w:rPr>
      </w:pPr>
      <w:r>
        <w:rPr>
          <w:rFonts w:hint="eastAsia" w:ascii="楷体" w:hAnsi="楷体" w:eastAsia="楷体" w:cs="楷体"/>
          <w:sz w:val="28"/>
          <w:szCs w:val="28"/>
        </w:rPr>
        <w:t>OrgOC构建需遵循器官发育生物学的特定原则，并兼顾微型装置的可行性与稳定性。芯片微结构需要根据待模拟的细胞类型及其空间分布进行设计。随后将相关的微环境组分引入系统以诱导细胞行为。最后在适当的区室培养所需结构和功能特征的类器官。</w:t>
      </w:r>
    </w:p>
    <w:p w14:paraId="073FE81E">
      <w:pPr>
        <w:rPr>
          <w:rFonts w:hint="eastAsia" w:ascii="楷体" w:hAnsi="楷体" w:eastAsia="楷体" w:cs="楷体"/>
          <w:sz w:val="28"/>
          <w:szCs w:val="28"/>
        </w:rPr>
      </w:pPr>
      <w:r>
        <w:rPr>
          <w:rFonts w:hint="eastAsia" w:ascii="楷体" w:hAnsi="楷体" w:eastAsia="楷体" w:cs="楷体"/>
          <w:sz w:val="28"/>
          <w:szCs w:val="28"/>
        </w:rPr>
        <w:t>类器官芯片明显提高了药物疗效及安全性预测的可靠性，降低成本与药物失败率，为药物的临床前评估和临床试验提供有力的科学依据。OrgOC还可以与AI、多重生物传感器、多组学分析、基因编辑等技术融合，进一步扩大应用领域，目前已建立生殖系统、内分泌系统、血管系统、神经系统等多种OrgOC，广泛用于基础研究和转化医学。</w:t>
      </w:r>
    </w:p>
    <w:p w14:paraId="649CCB27">
      <w:pPr>
        <w:jc w:val="center"/>
        <w:rPr>
          <w:rFonts w:hint="eastAsia" w:ascii="楷体" w:hAnsi="楷体" w:eastAsia="楷体" w:cs="楷体"/>
          <w:sz w:val="28"/>
          <w:szCs w:val="28"/>
          <w:lang w:eastAsia="zh-CN"/>
        </w:rPr>
      </w:pPr>
      <w:r>
        <w:rPr>
          <w:rFonts w:hint="eastAsia" w:ascii="楷体" w:hAnsi="楷体" w:eastAsia="楷体" w:cs="楷体"/>
          <w:sz w:val="28"/>
          <w:szCs w:val="28"/>
          <w:lang w:eastAsia="zh-CN"/>
        </w:rPr>
        <w:drawing>
          <wp:inline distT="0" distB="0" distL="114300" distR="114300">
            <wp:extent cx="5266690" cy="5086350"/>
            <wp:effectExtent l="0" t="0" r="10160" b="0"/>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10"/>
                    <a:stretch>
                      <a:fillRect/>
                    </a:stretch>
                  </pic:blipFill>
                  <pic:spPr>
                    <a:xfrm>
                      <a:off x="0" y="0"/>
                      <a:ext cx="5266690" cy="5086350"/>
                    </a:xfrm>
                    <a:prstGeom prst="rect">
                      <a:avLst/>
                    </a:prstGeom>
                  </pic:spPr>
                </pic:pic>
              </a:graphicData>
            </a:graphic>
          </wp:inline>
        </w:drawing>
      </w:r>
    </w:p>
    <w:p w14:paraId="5D2608D7">
      <w:pPr>
        <w:rPr>
          <w:rFonts w:hint="eastAsia" w:ascii="楷体" w:hAnsi="楷体" w:eastAsia="楷体" w:cs="楷体"/>
          <w:sz w:val="24"/>
          <w:szCs w:val="24"/>
        </w:rPr>
      </w:pPr>
      <w:r>
        <w:rPr>
          <w:rFonts w:hint="eastAsia" w:ascii="楷体" w:hAnsi="楷体" w:eastAsia="楷体" w:cs="楷体"/>
          <w:sz w:val="24"/>
          <w:szCs w:val="24"/>
        </w:rPr>
        <w:t>类器官芯片具有更多功能优势（源自文献：doi: 10.1038/s41420-023-01354-9）</w:t>
      </w:r>
    </w:p>
    <w:p w14:paraId="5F028CB0">
      <w:pPr>
        <w:pStyle w:val="3"/>
        <w:bidi w:val="0"/>
        <w:rPr>
          <w:rFonts w:hint="eastAsia" w:ascii="楷体" w:hAnsi="楷体" w:eastAsia="楷体" w:cs="楷体"/>
        </w:rPr>
      </w:pPr>
      <w:r>
        <w:rPr>
          <w:rFonts w:hint="eastAsia" w:ascii="楷体" w:hAnsi="楷体" w:eastAsia="楷体" w:cs="楷体"/>
        </w:rPr>
        <w:t>如何构建类器官芯片</w:t>
      </w:r>
    </w:p>
    <w:p w14:paraId="44687B9E">
      <w:pPr>
        <w:rPr>
          <w:rFonts w:hint="eastAsia" w:ascii="楷体" w:hAnsi="楷体" w:eastAsia="楷体" w:cs="楷体"/>
          <w:sz w:val="28"/>
          <w:szCs w:val="28"/>
        </w:rPr>
      </w:pPr>
      <w:r>
        <w:rPr>
          <w:rFonts w:hint="eastAsia" w:ascii="楷体" w:hAnsi="楷体" w:eastAsia="楷体" w:cs="楷体"/>
          <w:sz w:val="28"/>
          <w:szCs w:val="28"/>
        </w:rPr>
        <w:t>类器官芯片的构建结合了生物学和工程学的多个学科技术，主要包括以下4个关键步骤：</w:t>
      </w:r>
    </w:p>
    <w:p w14:paraId="7D5B19A4">
      <w:pPr>
        <w:numPr>
          <w:ilvl w:val="0"/>
          <w:numId w:val="2"/>
        </w:numPr>
        <w:rPr>
          <w:rFonts w:hint="eastAsia" w:ascii="楷体" w:hAnsi="楷体" w:eastAsia="楷体" w:cs="楷体"/>
          <w:b/>
          <w:bCs/>
          <w:sz w:val="28"/>
          <w:szCs w:val="28"/>
        </w:rPr>
      </w:pPr>
      <w:r>
        <w:rPr>
          <w:rFonts w:hint="eastAsia" w:ascii="楷体" w:hAnsi="楷体" w:eastAsia="楷体" w:cs="楷体"/>
          <w:b/>
          <w:bCs/>
          <w:sz w:val="28"/>
          <w:szCs w:val="28"/>
        </w:rPr>
        <w:t>类器官的培养</w:t>
      </w:r>
    </w:p>
    <w:p w14:paraId="49CF852C">
      <w:pPr>
        <w:numPr>
          <w:ilvl w:val="0"/>
          <w:numId w:val="0"/>
        </w:numPr>
        <w:rPr>
          <w:rFonts w:hint="eastAsia" w:ascii="楷体" w:hAnsi="楷体" w:eastAsia="楷体" w:cs="楷体"/>
          <w:sz w:val="28"/>
          <w:szCs w:val="28"/>
        </w:rPr>
      </w:pPr>
      <w:r>
        <w:rPr>
          <w:rFonts w:hint="eastAsia" w:ascii="楷体" w:hAnsi="楷体" w:eastAsia="楷体" w:cs="楷体"/>
          <w:sz w:val="28"/>
          <w:szCs w:val="28"/>
        </w:rPr>
        <w:t>从人体获得干细胞或肿瘤组织细胞，使用特定的培养基和细胞因子，诱导细胞自组装成具有器官功能特性的3D微型组织。如肠道类器官需要Wnt信号激活剂和其他小分子以支持肠上皮的生长和分化，添加表皮生长因子（EGF）、成纤维细胞生长因子（FGF）等生长因子，以促进肠道类器官的增殖。</w:t>
      </w:r>
    </w:p>
    <w:p w14:paraId="2540A3E1">
      <w:pPr>
        <w:numPr>
          <w:ilvl w:val="0"/>
          <w:numId w:val="2"/>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芯片的设计与制作</w:t>
      </w:r>
    </w:p>
    <w:p w14:paraId="04C6A18B">
      <w:pPr>
        <w:numPr>
          <w:ilvl w:val="0"/>
          <w:numId w:val="0"/>
        </w:numPr>
        <w:ind w:leftChars="0"/>
        <w:rPr>
          <w:rFonts w:hint="eastAsia" w:ascii="楷体" w:hAnsi="楷体" w:eastAsia="楷体" w:cs="楷体"/>
          <w:sz w:val="28"/>
          <w:szCs w:val="28"/>
        </w:rPr>
      </w:pPr>
      <w:r>
        <w:rPr>
          <w:rFonts w:hint="eastAsia" w:ascii="楷体" w:hAnsi="楷体" w:eastAsia="楷体" w:cs="楷体"/>
          <w:sz w:val="28"/>
          <w:szCs w:val="28"/>
        </w:rPr>
        <w:t>微流控系统需要考虑流体动力学参数，如流速、剪切力和扩散效应等，确保类器官能够在动态环境中正常生长。</w:t>
      </w:r>
    </w:p>
    <w:p w14:paraId="4C0A5173">
      <w:pPr>
        <w:numPr>
          <w:ilvl w:val="0"/>
          <w:numId w:val="2"/>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类器官与芯片整合</w:t>
      </w:r>
    </w:p>
    <w:p w14:paraId="1C421761">
      <w:pPr>
        <w:numPr>
          <w:ilvl w:val="0"/>
          <w:numId w:val="0"/>
        </w:numPr>
        <w:ind w:leftChars="0"/>
        <w:rPr>
          <w:rFonts w:hint="eastAsia" w:ascii="楷体" w:hAnsi="楷体" w:eastAsia="楷体" w:cs="楷体"/>
          <w:sz w:val="28"/>
          <w:szCs w:val="28"/>
        </w:rPr>
      </w:pPr>
      <w:r>
        <w:rPr>
          <w:rFonts w:hint="eastAsia" w:ascii="楷体" w:hAnsi="楷体" w:eastAsia="楷体" w:cs="楷体"/>
          <w:sz w:val="28"/>
          <w:szCs w:val="28"/>
        </w:rPr>
        <w:t>将类器官嵌入到芯片中是构建OrgOC的关键步骤。利用微泵将细胞悬液精确注入到细胞培养腔室中，需要严格控制细胞浓度和接种量。培养过程中，通过微流控系统持续向芯片中输送添加营养物质、细胞因子和生长因子的培养基，为类器官模拟体内的动态微环境。</w:t>
      </w:r>
    </w:p>
    <w:p w14:paraId="21CB1173">
      <w:pPr>
        <w:numPr>
          <w:ilvl w:val="0"/>
          <w:numId w:val="2"/>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功能模块集成</w:t>
      </w:r>
    </w:p>
    <w:p w14:paraId="75B6C3BF">
      <w:pPr>
        <w:numPr>
          <w:ilvl w:val="0"/>
          <w:numId w:val="0"/>
        </w:numPr>
        <w:ind w:leftChars="0"/>
        <w:rPr>
          <w:rFonts w:hint="eastAsia" w:ascii="楷体" w:hAnsi="楷体" w:eastAsia="楷体" w:cs="楷体"/>
          <w:sz w:val="28"/>
          <w:szCs w:val="28"/>
        </w:rPr>
      </w:pPr>
      <w:r>
        <w:rPr>
          <w:rFonts w:hint="eastAsia" w:ascii="楷体" w:hAnsi="楷体" w:eastAsia="楷体" w:cs="楷体"/>
          <w:sz w:val="28"/>
          <w:szCs w:val="28"/>
        </w:rPr>
        <w:t>为实时监测类器官的代谢和功能，需要在芯片中集成传感器和检测模块，如pH传感器、氧气浓度传感器、电化学检测元件等。此外，芯片还可以嵌入多通道系统，实现多种类器官的协同培养，如将肝类器官和肠类器官连接，以研究药物代谢和毒性。</w:t>
      </w:r>
    </w:p>
    <w:p w14:paraId="0AC1B61C">
      <w:pPr>
        <w:numPr>
          <w:ilvl w:val="0"/>
          <w:numId w:val="0"/>
        </w:numPr>
        <w:ind w:leftChars="0"/>
        <w:jc w:val="center"/>
        <w:rPr>
          <w:rFonts w:hint="eastAsia" w:ascii="楷体" w:hAnsi="楷体" w:eastAsia="楷体" w:cs="楷体"/>
          <w:sz w:val="28"/>
          <w:szCs w:val="28"/>
          <w:lang w:eastAsia="zh-CN"/>
        </w:rPr>
      </w:pPr>
      <w:r>
        <w:rPr>
          <w:rFonts w:hint="eastAsia" w:ascii="楷体" w:hAnsi="楷体" w:eastAsia="楷体" w:cs="楷体"/>
          <w:sz w:val="28"/>
          <w:szCs w:val="28"/>
          <w:lang w:eastAsia="zh-CN"/>
        </w:rPr>
        <w:drawing>
          <wp:inline distT="0" distB="0" distL="114300" distR="114300">
            <wp:extent cx="5266690" cy="2784475"/>
            <wp:effectExtent l="0" t="0" r="10160" b="15875"/>
            <wp:docPr id="8" name="图片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
                    <pic:cNvPicPr>
                      <a:picLocks noChangeAspect="1"/>
                    </pic:cNvPicPr>
                  </pic:nvPicPr>
                  <pic:blipFill>
                    <a:blip r:embed="rId11"/>
                    <a:stretch>
                      <a:fillRect/>
                    </a:stretch>
                  </pic:blipFill>
                  <pic:spPr>
                    <a:xfrm>
                      <a:off x="0" y="0"/>
                      <a:ext cx="5266690" cy="2784475"/>
                    </a:xfrm>
                    <a:prstGeom prst="rect">
                      <a:avLst/>
                    </a:prstGeom>
                  </pic:spPr>
                </pic:pic>
              </a:graphicData>
            </a:graphic>
          </wp:inline>
        </w:drawing>
      </w:r>
    </w:p>
    <w:p w14:paraId="7DF80782">
      <w:pPr>
        <w:numPr>
          <w:ilvl w:val="0"/>
          <w:numId w:val="0"/>
        </w:numPr>
        <w:ind w:leftChars="0"/>
        <w:jc w:val="center"/>
        <w:rPr>
          <w:rFonts w:hint="eastAsia" w:ascii="楷体" w:hAnsi="楷体" w:eastAsia="楷体" w:cs="楷体"/>
          <w:sz w:val="24"/>
          <w:szCs w:val="24"/>
        </w:rPr>
      </w:pPr>
      <w:r>
        <w:rPr>
          <w:rFonts w:hint="eastAsia" w:ascii="楷体" w:hAnsi="楷体" w:eastAsia="楷体" w:cs="楷体"/>
          <w:sz w:val="24"/>
          <w:szCs w:val="24"/>
        </w:rPr>
        <w:t>类器官芯片构建示意图（源自文献：doi: 10.1093/lifemedi/lnad007）</w:t>
      </w:r>
    </w:p>
    <w:p w14:paraId="6E3D08D6">
      <w:pPr>
        <w:rPr>
          <w:rFonts w:hint="eastAsia" w:ascii="楷体" w:hAnsi="楷体" w:eastAsia="楷体" w:cs="楷体"/>
          <w:sz w:val="28"/>
          <w:szCs w:val="28"/>
        </w:rPr>
      </w:pPr>
    </w:p>
    <w:p w14:paraId="0570ABA5">
      <w:pPr>
        <w:pStyle w:val="3"/>
        <w:bidi w:val="0"/>
        <w:rPr>
          <w:rFonts w:hint="eastAsia" w:ascii="楷体" w:hAnsi="楷体" w:eastAsia="楷体" w:cs="楷体"/>
        </w:rPr>
      </w:pPr>
      <w:r>
        <w:rPr>
          <w:rFonts w:hint="eastAsia" w:ascii="楷体" w:hAnsi="楷体" w:eastAsia="楷体" w:cs="楷体"/>
        </w:rPr>
        <w:t>义翘神州类器官研究解决方案</w:t>
      </w:r>
    </w:p>
    <w:p w14:paraId="6050807C">
      <w:pPr>
        <w:rPr>
          <w:rFonts w:hint="eastAsia" w:ascii="楷体" w:hAnsi="楷体" w:eastAsia="楷体" w:cs="楷体"/>
          <w:sz w:val="28"/>
          <w:szCs w:val="28"/>
        </w:rPr>
      </w:pPr>
      <w:r>
        <w:rPr>
          <w:rFonts w:hint="eastAsia" w:ascii="楷体" w:hAnsi="楷体" w:eastAsia="楷体" w:cs="楷体"/>
          <w:sz w:val="28"/>
          <w:szCs w:val="28"/>
        </w:rPr>
        <w:t>综上所述，基于类器官的模型技术能够模拟生命周期的复杂环境，如器官在疾病发生后会受到哪些影响？通过药物和细胞治疗能够达到何种程度？因此，在基础研究、疾病建模、药物筛选和个性化医疗等领域应用潜力巨大。</w:t>
      </w:r>
    </w:p>
    <w:p w14:paraId="2010A7F3">
      <w:pPr>
        <w:rPr>
          <w:rFonts w:hint="eastAsia" w:ascii="楷体" w:hAnsi="楷体" w:eastAsia="楷体" w:cs="楷体"/>
          <w:sz w:val="28"/>
          <w:szCs w:val="28"/>
        </w:rPr>
      </w:pPr>
      <w:r>
        <w:rPr>
          <w:rFonts w:hint="eastAsia" w:ascii="楷体" w:hAnsi="楷体" w:eastAsia="楷体" w:cs="楷体"/>
          <w:sz w:val="28"/>
          <w:szCs w:val="28"/>
        </w:rPr>
        <w:t>作为一家专注于为全球生物医药领域提供生物试剂和技术服务的高新技术企业，义翘神州自主开发了类器官培养、分化、分析和鉴定所需的细胞因子、生长因子、小分子化合物及抗体等产品。我们现推出升级版的类器官研究解决方案，涵盖多种生理和病理类器官模型，全力支持您的类器官培养与鉴定需求。</w:t>
      </w:r>
    </w:p>
    <w:p w14:paraId="072F1861">
      <w:pPr>
        <w:rPr>
          <w:rFonts w:hint="eastAsia" w:ascii="楷体" w:hAnsi="楷体" w:eastAsia="楷体" w:cs="楷体"/>
          <w:sz w:val="28"/>
          <w:szCs w:val="28"/>
        </w:rPr>
      </w:pPr>
    </w:p>
    <w:p w14:paraId="7225822F">
      <w:pPr>
        <w:rPr>
          <w:rFonts w:hint="eastAsia" w:ascii="楷体" w:hAnsi="楷体" w:eastAsia="楷体" w:cs="楷体"/>
          <w:sz w:val="28"/>
          <w:szCs w:val="28"/>
        </w:rPr>
      </w:pPr>
    </w:p>
    <w:p w14:paraId="7B178133">
      <w:pPr>
        <w:rPr>
          <w:rFonts w:hint="eastAsia" w:ascii="楷体" w:hAnsi="楷体" w:eastAsia="楷体" w:cs="楷体"/>
          <w:sz w:val="28"/>
          <w:szCs w:val="28"/>
        </w:rPr>
      </w:pPr>
    </w:p>
    <w:p w14:paraId="663D588B">
      <w:pPr>
        <w:rPr>
          <w:rFonts w:hint="eastAsia" w:ascii="楷体" w:hAnsi="楷体" w:eastAsia="楷体" w:cs="楷体"/>
          <w:sz w:val="24"/>
          <w:szCs w:val="24"/>
        </w:rPr>
      </w:pPr>
      <w:r>
        <w:rPr>
          <w:rFonts w:hint="eastAsia" w:ascii="楷体" w:hAnsi="楷体" w:eastAsia="楷体" w:cs="楷体"/>
          <w:sz w:val="24"/>
          <w:szCs w:val="24"/>
        </w:rPr>
        <w:t>免责声明：义翘神州内容团队仅是分享和解读公开的研究论文及其发现，专注于介绍全球生物医药研究新进展。本文仅作信息交流用，文中观点不代表义翘神州立场。随着对疾病机制研究的深入，新的实验结果或结论可能会修改或推翻文中的描述，还请大家理解。</w:t>
      </w:r>
    </w:p>
    <w:p w14:paraId="6E708169">
      <w:pPr>
        <w:rPr>
          <w:rFonts w:hint="eastAsia" w:ascii="楷体" w:hAnsi="楷体" w:eastAsia="楷体" w:cs="楷体"/>
          <w:sz w:val="24"/>
          <w:szCs w:val="24"/>
        </w:rPr>
      </w:pPr>
      <w:r>
        <w:rPr>
          <w:rFonts w:hint="eastAsia" w:ascii="楷体" w:hAnsi="楷体" w:eastAsia="楷体" w:cs="楷体"/>
          <w:sz w:val="24"/>
          <w:szCs w:val="24"/>
        </w:rPr>
        <w:t>本文不属于治疗方案推荐，如需获得治疗方案指导，请前往正规医院就诊。本司产品目前仅可用于科学研究，不可用于临床治疗。</w:t>
      </w:r>
    </w:p>
    <w:p w14:paraId="3E42F9B3">
      <w:pPr>
        <w:rPr>
          <w:rFonts w:hint="eastAsia" w:ascii="楷体" w:hAnsi="楷体" w:eastAsia="楷体" w:cs="楷体"/>
          <w:sz w:val="24"/>
          <w:szCs w:val="24"/>
        </w:rPr>
      </w:pPr>
    </w:p>
    <w:p w14:paraId="3CBD0F20">
      <w:pPr>
        <w:rPr>
          <w:rFonts w:hint="eastAsia" w:ascii="楷体" w:hAnsi="楷体" w:eastAsia="楷体" w:cs="楷体"/>
          <w:b/>
          <w:bCs/>
          <w:sz w:val="24"/>
          <w:szCs w:val="24"/>
        </w:rPr>
      </w:pPr>
      <w:r>
        <w:rPr>
          <w:rFonts w:hint="eastAsia" w:ascii="楷体" w:hAnsi="楷体" w:eastAsia="楷体" w:cs="楷体"/>
          <w:b/>
          <w:bCs/>
          <w:sz w:val="24"/>
          <w:szCs w:val="24"/>
        </w:rPr>
        <w:t>【参考文献】</w:t>
      </w:r>
    </w:p>
    <w:p w14:paraId="5D6FB96D">
      <w:pPr>
        <w:numPr>
          <w:ilvl w:val="0"/>
          <w:numId w:val="3"/>
        </w:numPr>
        <w:rPr>
          <w:rFonts w:hint="eastAsia" w:ascii="楷体" w:hAnsi="楷体" w:eastAsia="楷体" w:cs="楷体"/>
          <w:sz w:val="24"/>
          <w:szCs w:val="24"/>
        </w:rPr>
      </w:pPr>
      <w:r>
        <w:rPr>
          <w:rFonts w:hint="eastAsia" w:ascii="楷体" w:hAnsi="楷体" w:eastAsia="楷体" w:cs="楷体"/>
          <w:sz w:val="24"/>
          <w:szCs w:val="24"/>
        </w:rPr>
        <w:t xml:space="preserve">LiangbinZhou, et al. When artificial intelligence (AI) meets organoids and organs-on-chips(OoCs): Game-changer for drug discovery and development? The Innovation Life, 2025. </w:t>
      </w:r>
      <w:r>
        <w:rPr>
          <w:rFonts w:hint="eastAsia" w:ascii="楷体" w:hAnsi="楷体" w:eastAsia="楷体" w:cs="楷体"/>
          <w:color w:val="auto"/>
          <w:sz w:val="24"/>
          <w:szCs w:val="24"/>
          <w:u w:val="none"/>
        </w:rPr>
        <w:t>https://doi.org/10.59717/j.xinn-life.2024.100115</w:t>
      </w:r>
    </w:p>
    <w:p w14:paraId="76DD94BE">
      <w:pPr>
        <w:numPr>
          <w:ilvl w:val="0"/>
          <w:numId w:val="3"/>
        </w:numPr>
        <w:ind w:left="0" w:leftChars="0" w:firstLine="0" w:firstLineChars="0"/>
        <w:rPr>
          <w:rFonts w:hint="eastAsia" w:ascii="楷体" w:hAnsi="楷体" w:eastAsia="楷体" w:cs="楷体"/>
          <w:sz w:val="24"/>
          <w:szCs w:val="24"/>
        </w:rPr>
      </w:pPr>
      <w:r>
        <w:rPr>
          <w:rFonts w:hint="eastAsia" w:ascii="楷体" w:hAnsi="楷体" w:eastAsia="楷体" w:cs="楷体"/>
          <w:sz w:val="24"/>
          <w:szCs w:val="24"/>
        </w:rPr>
        <w:t xml:space="preserve"> Jiayue Yang, et al. Organoid, organ-on-a-chip and traditional Chinese medicine. Chinese Medicine, 2025. </w:t>
      </w:r>
      <w:r>
        <w:rPr>
          <w:rFonts w:hint="eastAsia" w:ascii="楷体" w:hAnsi="楷体" w:eastAsia="楷体" w:cs="楷体"/>
          <w:color w:val="auto"/>
          <w:sz w:val="24"/>
          <w:szCs w:val="24"/>
          <w:u w:val="none"/>
        </w:rPr>
        <w:t>https://doi.org/10.1186/s13020-025-01071-8</w:t>
      </w:r>
    </w:p>
    <w:p w14:paraId="6888E190">
      <w:pPr>
        <w:numPr>
          <w:ilvl w:val="0"/>
          <w:numId w:val="3"/>
        </w:numPr>
        <w:ind w:left="0" w:leftChars="0" w:firstLine="0" w:firstLineChars="0"/>
        <w:rPr>
          <w:rFonts w:hint="eastAsia" w:ascii="楷体" w:hAnsi="楷体" w:eastAsia="楷体" w:cs="楷体"/>
          <w:sz w:val="24"/>
          <w:szCs w:val="24"/>
        </w:rPr>
      </w:pPr>
      <w:r>
        <w:rPr>
          <w:rFonts w:hint="eastAsia" w:ascii="楷体" w:hAnsi="楷体" w:eastAsia="楷体" w:cs="楷体"/>
          <w:sz w:val="24"/>
          <w:szCs w:val="24"/>
        </w:rPr>
        <w:t xml:space="preserve"> Jialong Zhu, et al. Organoids and organs-on-chips: insights into predicting the efficacy of systemic treatment in colorectal cancer. Cell Death Discovery, 2023. </w:t>
      </w:r>
      <w:r>
        <w:rPr>
          <w:rFonts w:hint="eastAsia" w:ascii="楷体" w:hAnsi="楷体" w:eastAsia="楷体" w:cs="楷体"/>
          <w:color w:val="auto"/>
          <w:sz w:val="24"/>
          <w:szCs w:val="24"/>
          <w:u w:val="none"/>
        </w:rPr>
        <w:t>https://doi.org/10.1038/s41420-023-01354-9</w:t>
      </w:r>
    </w:p>
    <w:p w14:paraId="4B72FDEF">
      <w:pPr>
        <w:numPr>
          <w:ilvl w:val="0"/>
          <w:numId w:val="0"/>
        </w:numPr>
        <w:ind w:leftChars="0"/>
        <w:rPr>
          <w:rFonts w:hint="eastAsia" w:ascii="楷体" w:hAnsi="楷体" w:eastAsia="楷体" w:cs="楷体"/>
          <w:sz w:val="24"/>
          <w:szCs w:val="24"/>
        </w:rPr>
      </w:pPr>
      <w:r>
        <w:rPr>
          <w:rFonts w:hint="eastAsia" w:ascii="楷体" w:hAnsi="楷体" w:eastAsia="楷体" w:cs="楷体"/>
          <w:sz w:val="24"/>
          <w:szCs w:val="24"/>
        </w:rPr>
        <w:t>4. Yaqing Wang, Jianhua Qin. Advances in human organoids-on-chips in biomedical research. Life Medicine, 2023. https://doi.org/10.1093/lifemedi/lnad007</w:t>
      </w:r>
    </w:p>
    <w:p w14:paraId="79326E86"/>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7C419">
    <w:pPr>
      <w:pStyle w:val="4"/>
    </w:pPr>
    <w:r>
      <mc:AlternateContent>
        <mc:Choice Requires="wps">
          <w:drawing>
            <wp:anchor distT="0" distB="0" distL="0" distR="0" simplePos="0" relativeHeight="251661312" behindDoc="1" locked="0" layoutInCell="1" allowOverlap="1">
              <wp:simplePos x="0" y="0"/>
              <wp:positionH relativeFrom="page">
                <wp:posOffset>3694430</wp:posOffset>
              </wp:positionH>
              <wp:positionV relativeFrom="page">
                <wp:posOffset>9856470</wp:posOffset>
              </wp:positionV>
              <wp:extent cx="2776855" cy="159385"/>
              <wp:effectExtent l="0" t="0" r="0" b="0"/>
              <wp:wrapNone/>
              <wp:docPr id="9" name="Textbox 9"/>
              <wp:cNvGraphicFramePr/>
              <a:graphic xmlns:a="http://schemas.openxmlformats.org/drawingml/2006/main">
                <a:graphicData uri="http://schemas.microsoft.com/office/word/2010/wordprocessingShape">
                  <wps:wsp>
                    <wps:cNvSpPr txBox="1"/>
                    <wps:spPr>
                      <a:xfrm>
                        <a:off x="0" y="0"/>
                        <a:ext cx="2776855" cy="159385"/>
                      </a:xfrm>
                      <a:prstGeom prst="rect">
                        <a:avLst/>
                      </a:prstGeom>
                    </wps:spPr>
                    <wps:txbx>
                      <w:txbxContent>
                        <w:p w14:paraId="1E7B20B8">
                          <w:pPr>
                            <w:spacing w:before="0" w:line="250" w:lineRule="exact"/>
                            <w:ind w:left="20" w:right="0" w:firstLine="0"/>
                            <w:jc w:val="left"/>
                            <w:rPr>
                              <w:sz w:val="21"/>
                            </w:rPr>
                          </w:pPr>
                          <w:r>
                            <w:rPr>
                              <w:spacing w:val="-1"/>
                              <w:sz w:val="21"/>
                            </w:rPr>
                            <w:t>——义翘神州以精品试剂助力您的科研事业！</w:t>
                          </w:r>
                        </w:p>
                      </w:txbxContent>
                    </wps:txbx>
                    <wps:bodyPr wrap="square" lIns="0" tIns="0" rIns="0" bIns="0" rtlCol="0">
                      <a:noAutofit/>
                    </wps:bodyPr>
                  </wps:wsp>
                </a:graphicData>
              </a:graphic>
            </wp:anchor>
          </w:drawing>
        </mc:Choice>
        <mc:Fallback>
          <w:pict>
            <v:shape id="Textbox 9" o:spid="_x0000_s1026" o:spt="202" type="#_x0000_t202" style="position:absolute;left:0pt;margin-left:290.9pt;margin-top:776.1pt;height:12.55pt;width:218.65pt;mso-position-horizontal-relative:page;mso-position-vertical-relative:page;z-index:-251655168;mso-width-relative:page;mso-height-relative:page;" filled="f" stroked="f" coordsize="21600,21600" o:gfxdata="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7+rKktsAAAAOAQAADwAAAAAAAAABACAAAAAiAAAAZHJzL2Rvd25yZXYueG1sUEsBAhQAFAAA&#10;AAgAh07iQHp6/vmzAQAAdAMAAA4AAAAAAAAAAQAgAAAAKgEAAGRycy9lMm9Eb2MueG1sUEsFBgAA&#10;AAAGAAYAWQEAAE8FAAAAAA==&#10;">
              <v:fill on="f" focussize="0,0"/>
              <v:stroke on="f"/>
              <v:imagedata o:title=""/>
              <o:lock v:ext="edit" aspectratio="f"/>
              <v:textbox inset="0mm,0mm,0mm,0mm">
                <w:txbxContent>
                  <w:p w14:paraId="1E7B20B8">
                    <w:pPr>
                      <w:spacing w:before="0" w:line="250" w:lineRule="exact"/>
                      <w:ind w:left="20" w:right="0" w:firstLine="0"/>
                      <w:jc w:val="left"/>
                      <w:rPr>
                        <w:sz w:val="21"/>
                      </w:rPr>
                    </w:pPr>
                    <w:r>
                      <w:rPr>
                        <w:spacing w:val="-1"/>
                        <w:sz w:val="21"/>
                      </w:rPr>
                      <w:t>——义翘神州以精品试剂助力您的科研事业！</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74BC3">
    <w:pPr>
      <w:pStyle w:val="5"/>
    </w:pPr>
    <w:r>
      <mc:AlternateContent>
        <mc:Choice Requires="wps">
          <w:drawing>
            <wp:anchor distT="0" distB="0" distL="0" distR="0" simplePos="0" relativeHeight="251660288" behindDoc="1" locked="0" layoutInCell="1" allowOverlap="1">
              <wp:simplePos x="0" y="0"/>
              <wp:positionH relativeFrom="page">
                <wp:posOffset>4460240</wp:posOffset>
              </wp:positionH>
              <wp:positionV relativeFrom="page">
                <wp:posOffset>787400</wp:posOffset>
              </wp:positionV>
              <wp:extent cx="1988820" cy="159385"/>
              <wp:effectExtent l="0" t="0" r="0" b="0"/>
              <wp:wrapNone/>
              <wp:docPr id="5" name="Textbox 5"/>
              <wp:cNvGraphicFramePr/>
              <a:graphic xmlns:a="http://schemas.openxmlformats.org/drawingml/2006/main">
                <a:graphicData uri="http://schemas.microsoft.com/office/word/2010/wordprocessingShape">
                  <wps:wsp>
                    <wps:cNvSpPr txBox="1"/>
                    <wps:spPr>
                      <a:xfrm>
                        <a:off x="0" y="0"/>
                        <a:ext cx="1988820" cy="159385"/>
                      </a:xfrm>
                      <a:prstGeom prst="rect">
                        <a:avLst/>
                      </a:prstGeom>
                    </wps:spPr>
                    <wps:txbx>
                      <w:txbxContent>
                        <w:p w14:paraId="4C43B7FB">
                          <w:pPr>
                            <w:spacing w:before="0" w:line="250" w:lineRule="exact"/>
                            <w:ind w:left="20" w:right="0" w:firstLine="0"/>
                            <w:jc w:val="left"/>
                            <w:rPr>
                              <w:sz w:val="21"/>
                            </w:rPr>
                          </w:pPr>
                          <w:r>
                            <w:rPr>
                              <w:spacing w:val="-1"/>
                              <w:w w:val="105"/>
                              <w:sz w:val="21"/>
                            </w:rPr>
                            <w:t>北京义翘神州科技股份有限公司</w:t>
                          </w:r>
                        </w:p>
                      </w:txbxContent>
                    </wps:txbx>
                    <wps:bodyPr wrap="square" lIns="0" tIns="0" rIns="0" bIns="0" rtlCol="0">
                      <a:noAutofit/>
                    </wps:bodyPr>
                  </wps:wsp>
                </a:graphicData>
              </a:graphic>
            </wp:anchor>
          </w:drawing>
        </mc:Choice>
        <mc:Fallback>
          <w:pict>
            <v:shape id="Textbox 5" o:spid="_x0000_s1026" o:spt="202" type="#_x0000_t202" style="position:absolute;left:0pt;margin-left:351.2pt;margin-top:62pt;height:12.55pt;width:156.6pt;mso-position-horizontal-relative:page;mso-position-vertical-relative:page;z-index:-251656192;mso-width-relative:page;mso-height-relative:page;" filled="f" stroked="f" coordsize="21600,21600" o:gfxdata="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96lkbdoAAAAMAQAADwAAAAAAAAABACAAAAAiAAAAZHJzL2Rvd25yZXYueG1sUEsBAhQAFAAAAAgA&#10;h07iQMNhJOexAQAAdAMAAA4AAAAAAAAAAQAgAAAAKQEAAGRycy9lMm9Eb2MueG1sUEsFBgAAAAAG&#10;AAYAWQEAAEwFAAAAAA==&#10;">
              <v:fill on="f" focussize="0,0"/>
              <v:stroke on="f"/>
              <v:imagedata o:title=""/>
              <o:lock v:ext="edit" aspectratio="f"/>
              <v:textbox inset="0mm,0mm,0mm,0mm">
                <w:txbxContent>
                  <w:p w14:paraId="4C43B7FB">
                    <w:pPr>
                      <w:spacing w:before="0" w:line="250" w:lineRule="exact"/>
                      <w:ind w:left="20" w:right="0" w:firstLine="0"/>
                      <w:jc w:val="left"/>
                      <w:rPr>
                        <w:sz w:val="21"/>
                      </w:rPr>
                    </w:pPr>
                    <w:r>
                      <w:rPr>
                        <w:spacing w:val="-1"/>
                        <w:w w:val="105"/>
                        <w:sz w:val="21"/>
                      </w:rPr>
                      <w:t>北京义翘神州科技股份有限公司</w:t>
                    </w:r>
                  </w:p>
                </w:txbxContent>
              </v:textbox>
            </v:shape>
          </w:pict>
        </mc:Fallback>
      </mc:AlternateContent>
    </w:r>
    <w:r>
      <w:drawing>
        <wp:anchor distT="0" distB="0" distL="114300" distR="114300" simplePos="0" relativeHeight="251659264" behindDoc="0" locked="0" layoutInCell="1" allowOverlap="1">
          <wp:simplePos x="0" y="0"/>
          <wp:positionH relativeFrom="column">
            <wp:posOffset>41275</wp:posOffset>
          </wp:positionH>
          <wp:positionV relativeFrom="paragraph">
            <wp:posOffset>-19685</wp:posOffset>
          </wp:positionV>
          <wp:extent cx="2233930" cy="382905"/>
          <wp:effectExtent l="0" t="0" r="13970" b="17145"/>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233877" cy="383057"/>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3F1D19"/>
    <w:multiLevelType w:val="singleLevel"/>
    <w:tmpl w:val="CA3F1D19"/>
    <w:lvl w:ilvl="0" w:tentative="0">
      <w:start w:val="1"/>
      <w:numFmt w:val="decimal"/>
      <w:suff w:val="space"/>
      <w:lvlText w:val="%1."/>
      <w:lvlJc w:val="left"/>
    </w:lvl>
  </w:abstractNum>
  <w:abstractNum w:abstractNumId="1">
    <w:nsid w:val="3BA353ED"/>
    <w:multiLevelType w:val="singleLevel"/>
    <w:tmpl w:val="3BA353ED"/>
    <w:lvl w:ilvl="0" w:tentative="0">
      <w:start w:val="1"/>
      <w:numFmt w:val="decimal"/>
      <w:suff w:val="nothing"/>
      <w:lvlText w:val="%1、"/>
      <w:lvlJc w:val="left"/>
    </w:lvl>
  </w:abstractNum>
  <w:abstractNum w:abstractNumId="2">
    <w:nsid w:val="7C763D4D"/>
    <w:multiLevelType w:val="singleLevel"/>
    <w:tmpl w:val="7C763D4D"/>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1YTA5Y2Y5Y2I0NzU2ZDExMmM5ZWY5YTU1YWU0MjAifQ=="/>
  </w:docVars>
  <w:rsids>
    <w:rsidRoot w:val="6B011BE9"/>
    <w:rsid w:val="091A12E3"/>
    <w:rsid w:val="0C484EEE"/>
    <w:rsid w:val="1A1931EE"/>
    <w:rsid w:val="58B42E47"/>
    <w:rsid w:val="6B011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1952</Words>
  <Characters>2416</Characters>
  <Lines>0</Lines>
  <Paragraphs>0</Paragraphs>
  <TotalTime>0</TotalTime>
  <ScaleCrop>false</ScaleCrop>
  <LinksUpToDate>false</LinksUpToDate>
  <CharactersWithSpaces>2457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2024-08-08T02:26:00Z</dcterms:created>
  <dc:creator>忘了天空的颜色</dc:creator>
  <cp:lastModifiedBy>忘了天空的颜色</cp:lastModifiedBy>
  <dcterms:modified xsi:type="dcterms:W3CDTF">2025-03-27T08:03:14Z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15486A9AA192468D909F745332D0405C_13</vt:lpwstr>
  </property>
  <property fmtid="{D5CDD505-2E9C-101B-9397-08002B2CF9AE}" pid="4" name="KSOTemplateDocerSaveRecord">
    <vt:lpwstr>eyJoZGlkIjoiZTE1YTA5Y2Y5Y2I0NzU2ZDExMmM5ZWY5YTU1YWU0MjAiLCJ1c2VySWQiOiIzMDIxNDQ2NTUifQ==</vt:lpwstr>
  </property>
</Properties>
</file>